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b/>
          <w:bCs/>
          <w:i w:val="false"/>
          <w:iCs w:val="false"/>
          <w:color w:val="000000"/>
          <w:sz w:val="24"/>
          <w:szCs w:val="24"/>
        </w:rPr>
        <w:t>ATA DE REGISTRO DE PREÇOS</w:t>
      </w:r>
    </w:p>
    <w:p>
      <w:pPr>
        <w:pStyle w:val="Normal"/>
        <w:widowControl w:val="false"/>
        <w:spacing w:lineRule="auto" w:line="240" w:before="0" w:after="0"/>
        <w:ind w:right="-15" w:hanging="0"/>
        <w:contextualSpacing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MARINHA DO BRASIL </w:t>
      </w:r>
    </w:p>
    <w:p>
      <w:pPr>
        <w:pStyle w:val="Normal"/>
        <w:widowControl w:val="false"/>
        <w:spacing w:lineRule="auto" w:line="240" w:before="0" w:after="0"/>
        <w:ind w:right="-15" w:hanging="0"/>
        <w:contextualSpacing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 xml:space="preserve">SERVIÇO DE VETERANOS E PENSIONISTAS DA MARINHA </w:t>
      </w:r>
    </w:p>
    <w:p>
      <w:pPr>
        <w:pStyle w:val="Normal"/>
        <w:widowControl w:val="false"/>
        <w:spacing w:lineRule="auto" w:line="240" w:before="0" w:after="0"/>
        <w:ind w:right="-15" w:hanging="0"/>
        <w:contextualSpacing/>
        <w:jc w:val="center"/>
        <w:rPr>
          <w:rFonts w:cs="Arial"/>
        </w:rPr>
      </w:pPr>
      <w:r>
        <w:rPr>
          <w:rFonts w:cs="Arial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 xml:space="preserve">ATA DE REGISTRO DE PREÇOS </w:t>
      </w:r>
      <w:r>
        <w:rPr>
          <w:rFonts w:cs="Arial" w:ascii="Calibri" w:hAnsi="Calibri"/>
          <w:bCs/>
          <w:i w:val="false"/>
          <w:iCs w:val="false"/>
          <w:color w:val="000000"/>
          <w:sz w:val="24"/>
          <w:szCs w:val="24"/>
        </w:rPr>
        <w:t>N.º .........</w:t>
      </w:r>
    </w:p>
    <w:p>
      <w:pPr>
        <w:pStyle w:val="Normal"/>
        <w:widowControl w:val="false"/>
        <w:spacing w:lineRule="auto" w:line="360"/>
        <w:ind w:right="-30" w:hanging="0"/>
        <w:jc w:val="both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/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 xml:space="preserve">O </w:t>
      </w:r>
      <w:r>
        <w:rPr>
          <w:rStyle w:val="Fontepargpadro"/>
          <w:rFonts w:eastAsia="Arial" w:cs="Calibri" w:ascii="Calibri" w:hAnsi="Calibri"/>
          <w:i w:val="false"/>
          <w:iCs w:val="false"/>
          <w:color w:val="000000"/>
          <w:spacing w:val="-6"/>
          <w:sz w:val="24"/>
          <w:szCs w:val="24"/>
        </w:rPr>
        <w:t>SERVIÇO DE VETERANOS E PENSIONISTAS DA MARINHA (SVPM)</w:t>
      </w: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 xml:space="preserve">, com sede </w:t>
      </w:r>
      <w:r>
        <w:rPr>
          <w:rStyle w:val="Fontepargpadro"/>
          <w:rFonts w:eastAsia="Arial" w:cs="Calibri" w:ascii="Calibri" w:hAnsi="Calibri"/>
          <w:i w:val="false"/>
          <w:iCs w:val="false"/>
          <w:color w:val="000000"/>
          <w:spacing w:val="-6"/>
          <w:kern w:val="0"/>
          <w:sz w:val="24"/>
          <w:szCs w:val="24"/>
          <w:lang w:val="pt-BR" w:eastAsia="pt-BR" w:bidi="ar-SA"/>
        </w:rPr>
        <w:t>na PRAÇA BARÃO DE LADÁRIO - S/N° - ED. ALTE TAMANDARE, 2° ANDAR - CENTRO</w:t>
      </w:r>
      <w:r>
        <w:rPr>
          <w:rStyle w:val="Fontepargpadro"/>
          <w:rFonts w:eastAsia="Arial" w:cs="Calibri" w:ascii="Calibri" w:hAnsi="Calibri"/>
          <w:i w:val="false"/>
          <w:iCs w:val="false"/>
          <w:color w:val="000000"/>
          <w:spacing w:val="-6"/>
          <w:sz w:val="24"/>
          <w:szCs w:val="24"/>
        </w:rPr>
        <w:t xml:space="preserve">, CEP nº </w:t>
      </w:r>
      <w:bookmarkStart w:id="0" w:name="formResultado%2525252525253Aj_idt741"/>
      <w:bookmarkEnd w:id="0"/>
      <w:r>
        <w:rPr>
          <w:rStyle w:val="Fontepargpadro"/>
          <w:rFonts w:eastAsia="Arial" w:cs="Calibri" w:ascii="Calibri" w:hAnsi="Calibri"/>
          <w:i w:val="false"/>
          <w:iCs w:val="false"/>
          <w:color w:val="000000"/>
          <w:spacing w:val="-6"/>
          <w:sz w:val="24"/>
          <w:szCs w:val="24"/>
        </w:rPr>
        <w:t xml:space="preserve">20091-000, </w:t>
      </w:r>
      <w:r>
        <w:rPr>
          <w:rFonts w:eastAsia="Arial" w:cs="Arial" w:ascii="Calibri" w:hAnsi="Calibri"/>
          <w:i w:val="false"/>
          <w:iCs w:val="false"/>
          <w:color w:val="000000"/>
          <w:sz w:val="24"/>
          <w:szCs w:val="24"/>
        </w:rPr>
        <w:t>na cidade d</w:t>
      </w:r>
      <w:r>
        <w:rPr>
          <w:rFonts w:eastAsia="Arial" w:cs="Arial" w:ascii="Calibri" w:hAnsi="Calibri"/>
          <w:i w:val="false"/>
          <w:iCs w:val="false"/>
          <w:color w:val="000000"/>
          <w:kern w:val="0"/>
          <w:sz w:val="24"/>
          <w:szCs w:val="24"/>
          <w:lang w:val="pt-BR" w:eastAsia="pt-BR" w:bidi="ar-SA"/>
        </w:rPr>
        <w:t>o Rio de Janeiro</w:t>
      </w:r>
      <w:r>
        <w:rPr>
          <w:rFonts w:eastAsia="Arial" w:cs="Arial" w:ascii="Calibri" w:hAnsi="Calibri"/>
          <w:i w:val="false"/>
          <w:iCs w:val="false"/>
          <w:color w:val="000000"/>
          <w:sz w:val="24"/>
          <w:szCs w:val="24"/>
        </w:rPr>
        <w:t>/</w:t>
      </w:r>
      <w:r>
        <w:rPr>
          <w:rFonts w:eastAsia="Arial" w:cs="Arial" w:ascii="Calibri" w:hAnsi="Calibri"/>
          <w:i w:val="false"/>
          <w:iCs w:val="false"/>
          <w:color w:val="000000"/>
          <w:kern w:val="0"/>
          <w:sz w:val="24"/>
          <w:szCs w:val="24"/>
          <w:lang w:val="pt-BR" w:eastAsia="pt-BR" w:bidi="ar-SA"/>
        </w:rPr>
        <w:t>RJ</w:t>
      </w: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 xml:space="preserve">, inscrito(a) no CNPJ/MF sob o nº </w:t>
      </w:r>
      <w:r>
        <w:rPr>
          <w:rFonts w:eastAsia="Arial" w:cs="Arial" w:ascii="Calibri" w:hAnsi="Calibri"/>
          <w:i w:val="false"/>
          <w:iCs w:val="false"/>
          <w:color w:val="000000"/>
          <w:sz w:val="24"/>
          <w:szCs w:val="24"/>
        </w:rPr>
        <w:t>00.394.502/0410-96</w:t>
      </w: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 xml:space="preserve">, neste ato representado(a) pelo(a) ...... (cargo e nome), nomeado(a) pela  Portaria nº ...... de ..... de ...... de 202..., publicada no ....... de ..... de ....... de ....., portador da matrícula funcional nº ..................., considerando o julgamento da licitação na modalidade de pregão, na forma eletrônica, para REGISTRO DE PREÇOS nº 90008/2024, publicada no ...... de ...../...../202....., processo administrativo n.º </w:t>
      </w:r>
      <w:r>
        <w:rPr>
          <w:rStyle w:val="Nfaseforte"/>
          <w:rFonts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highlight w:val="white"/>
        </w:rPr>
        <w:t>63410.004616/2024-23</w:t>
      </w: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, 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DO OBJETO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A presente Ata tem por objeto o registro de preços para </w:t>
      </w:r>
      <w:r>
        <w:rPr>
          <w:rFonts w:eastAsia="Carlito;Calibri" w:cs="Carlito;Calibri" w:ascii="Carlito;Calibri" w:hAnsi="Carlito;Calibri"/>
          <w:i w:val="false"/>
          <w:iCs w:val="false"/>
          <w:color w:val="000000" w:themeTint="a6"/>
          <w:sz w:val="24"/>
          <w:szCs w:val="24"/>
        </w:rPr>
        <w:t>para eventual a</w:t>
      </w:r>
      <w:r>
        <w:rPr>
          <w:rFonts w:cs="Calibri" w:ascii="Calibri" w:hAnsi="Calibri"/>
          <w:i w:val="false"/>
          <w:iCs w:val="false"/>
          <w:color w:val="000000" w:themeTint="a6"/>
          <w:sz w:val="24"/>
          <w:szCs w:val="24"/>
        </w:rPr>
        <w:t xml:space="preserve">quisição de </w:t>
      </w:r>
      <w:r>
        <w:rPr>
          <w:rFonts w:cs="Calibri" w:ascii="Calibri" w:hAnsi="Calibri"/>
          <w:i w:val="false"/>
          <w:iCs w:val="false"/>
          <w:color w:val="000000" w:themeTint="a6"/>
          <w:sz w:val="24"/>
          <w:szCs w:val="24"/>
        </w:rPr>
        <w:t>cabos el</w:t>
      </w:r>
      <w:r>
        <w:rPr>
          <w:rFonts w:eastAsia="Times New Roman" w:cs="Calibri" w:ascii="Calibri" w:hAnsi="Calibri"/>
          <w:i w:val="false"/>
          <w:iCs w:val="false"/>
          <w:color w:val="000000" w:themeTint="a6"/>
          <w:kern w:val="0"/>
          <w:sz w:val="24"/>
          <w:szCs w:val="24"/>
          <w:lang w:val="pt-BR" w:eastAsia="pt-BR" w:bidi="ar-SA"/>
        </w:rPr>
        <w:t>étricos para as manutenções preventivas e corretivas do sistema elétrico e predial,</w:t>
      </w:r>
      <w:r>
        <w:rPr>
          <w:rFonts w:cs="Calibri" w:ascii="Calibri" w:hAnsi="Calibri"/>
          <w:i w:val="false"/>
          <w:iCs w:val="false"/>
          <w:color w:val="000000" w:themeTint="a6"/>
          <w:sz w:val="24"/>
          <w:szCs w:val="24"/>
        </w:rPr>
        <w:t xml:space="preserve"> visando atender o Serviço de Veteranos e Pensionistas da Marinha (SVPM)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, especificado(s) no(s) item(ns).......... do .......... Termo de Referência, anexo </w:t>
      </w: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do edital de Licitação nº </w:t>
      </w:r>
      <w:r>
        <w:rPr>
          <w:rFonts w:eastAsia="Times New Roman" w:cs="Arial" w:ascii="Calibri" w:hAnsi="Calibri"/>
          <w:i w:val="false"/>
          <w:iCs w:val="false"/>
          <w:color w:val="000000"/>
          <w:kern w:val="0"/>
          <w:sz w:val="24"/>
          <w:szCs w:val="24"/>
          <w:lang w:val="pt-BR" w:eastAsia="pt-BR" w:bidi="ar-SA"/>
        </w:rPr>
        <w:t>900</w:t>
      </w:r>
      <w:r>
        <w:rPr>
          <w:rFonts w:eastAsia="Times New Roman" w:cs="Arial" w:ascii="Calibri" w:hAnsi="Calibri"/>
          <w:i w:val="false"/>
          <w:iCs w:val="false"/>
          <w:color w:val="000000"/>
          <w:kern w:val="0"/>
          <w:sz w:val="24"/>
          <w:szCs w:val="24"/>
          <w:lang w:val="pt-BR" w:eastAsia="pt-BR" w:bidi="ar-SA"/>
        </w:rPr>
        <w:t>10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/20</w:t>
      </w: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24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commentRangeStart w:id="0"/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preço registrado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  <w:commentRangeEnd w:id="0"/>
      <w:r>
        <w:commentReference w:id="0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, as especificações do objeto, </w:t>
      </w:r>
      <w:commentRangeStart w:id="1"/>
      <w:r>
        <w:rPr>
          <w:rFonts w:ascii="Calibri" w:hAnsi="Calibri"/>
          <w:i w:val="false"/>
          <w:iCs w:val="false"/>
          <w:color w:val="000000"/>
          <w:sz w:val="24"/>
          <w:szCs w:val="24"/>
        </w:rPr>
        <w:t>as quantidades mínimas e máximas de cada item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  <w:commentRangeEnd w:id="1"/>
      <w:r>
        <w:commentReference w:id="1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792"/>
        <w:gridCol w:w="1308"/>
        <w:gridCol w:w="1414"/>
        <w:gridCol w:w="793"/>
        <w:gridCol w:w="568"/>
        <w:gridCol w:w="1307"/>
        <w:gridCol w:w="900"/>
        <w:gridCol w:w="794"/>
        <w:gridCol w:w="1515"/>
      </w:tblGrid>
      <w:tr>
        <w:trPr>
          <w:trHeight w:val="511" w:hRule="atLeast"/>
        </w:trPr>
        <w:tc>
          <w:tcPr>
            <w:tcW w:w="939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 xml:space="preserve">Fornecedor </w:t>
            </w:r>
            <w:r>
              <w:rPr>
                <w:rFonts w:eastAsia="Times New Roman" w:cs="Arial" w:ascii="Calibri" w:hAnsi="Calibri"/>
                <w:i w:val="false"/>
                <w:iCs w:val="false"/>
                <w:color w:val="000000"/>
                <w:kern w:val="0"/>
                <w:sz w:val="24"/>
                <w:szCs w:val="24"/>
                <w:lang w:val="pt-BR" w:eastAsia="pt-BR" w:bidi="ar-SA"/>
              </w:rPr>
              <w:t>[</w:t>
            </w: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razão social CNPJ/MF, endereço, e-mail, telefone e (nome, CPF e função do representante legal)]</w:t>
            </w:r>
          </w:p>
        </w:tc>
      </w:tr>
      <w:tr>
        <w:trPr>
          <w:trHeight w:val="674" w:hRule="atLeast"/>
        </w:trPr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 w:eastAsia="Times New Roman" w:cs="Arial"/>
                <w:i w:val="false"/>
                <w:i w:val="false"/>
                <w:iCs w:val="false"/>
                <w:color w:val="000000"/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i w:val="false"/>
                <w:iCs w:val="false"/>
                <w:color w:val="000000"/>
                <w:kern w:val="0"/>
                <w:sz w:val="24"/>
                <w:szCs w:val="24"/>
                <w:lang w:val="pt-BR" w:eastAsia="pt-BR" w:bidi="ar-SA"/>
              </w:rPr>
              <w:t>N° item</w:t>
            </w:r>
          </w:p>
        </w:tc>
        <w:tc>
          <w:tcPr>
            <w:tcW w:w="351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Especificação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 w:eastAsia="Times New Roman" w:cs="Arial"/>
                <w:i w:val="false"/>
                <w:i w:val="false"/>
                <w:iCs w:val="false"/>
                <w:color w:val="000000"/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i w:val="false"/>
                <w:iCs w:val="false"/>
                <w:color w:val="000000"/>
                <w:kern w:val="0"/>
                <w:sz w:val="24"/>
                <w:szCs w:val="24"/>
                <w:lang w:val="pt-BR" w:eastAsia="pt-BR" w:bidi="ar-SA"/>
              </w:rPr>
              <w:t>UF</w:t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Quantidade Máxima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Valor Unitário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 xml:space="preserve">Valor </w:t>
            </w:r>
            <w:r>
              <w:rPr>
                <w:rFonts w:eastAsia="Times New Roman" w:cs="Arial" w:ascii="Calibri" w:hAnsi="Calibri"/>
                <w:i w:val="false"/>
                <w:iCs w:val="false"/>
                <w:color w:val="000000"/>
                <w:kern w:val="0"/>
                <w:sz w:val="24"/>
                <w:szCs w:val="24"/>
                <w:lang w:val="pt-BR" w:eastAsia="pt-BR" w:bidi="ar-SA"/>
              </w:rPr>
              <w:t>Total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4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7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  <w:lang w:eastAsia="en-US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commentRangeStart w:id="2"/>
      <w:r>
        <w:rPr>
          <w:rFonts w:ascii="Calibri" w:hAnsi="Calibri"/>
          <w:i w:val="false"/>
          <w:iCs w:val="false"/>
          <w:color w:val="000000"/>
          <w:sz w:val="24"/>
          <w:szCs w:val="24"/>
          <w:lang w:eastAsia="en-US"/>
        </w:rPr>
        <w:t>A listagem do cadastro de reserva referente ao presente registro de preços consta como anexo a esta Ata.</w:t>
      </w:r>
      <w:commentRangeEnd w:id="2"/>
      <w:r>
        <w:commentReference w:id="2"/>
      </w:r>
      <w:r>
        <w:rPr>
          <w:rFonts w:ascii="Calibri" w:hAnsi="Calibri"/>
          <w:i w:val="false"/>
          <w:iCs w:val="false"/>
          <w:color w:val="000000"/>
          <w:sz w:val="24"/>
          <w:szCs w:val="24"/>
          <w:lang w:eastAsia="en-US"/>
        </w:rPr>
      </w:r>
    </w:p>
    <w:p>
      <w:pPr>
        <w:pStyle w:val="Nivel01"/>
        <w:numPr>
          <w:ilvl w:val="0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commentRangeStart w:id="3"/>
      <w:commentRangeStart w:id="4"/>
      <w:r>
        <w:rPr>
          <w:rFonts w:ascii="Calibri" w:hAnsi="Calibri"/>
          <w:i w:val="false"/>
          <w:iCs w:val="false"/>
          <w:color w:val="000000"/>
          <w:sz w:val="24"/>
          <w:szCs w:val="24"/>
        </w:rPr>
        <w:t>ÓRGÃO(S) GERENCIADOR E  PARTICIPANTE(S)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  <w:commentRangeEnd w:id="4"/>
      <w:r>
        <w:commentReference w:id="4"/>
      </w:r>
      <w:commentRangeEnd w:id="3"/>
      <w:r>
        <w:commentReference w:id="3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O órgão gerenciador será o </w:t>
      </w:r>
      <w:r>
        <w:rPr>
          <w:rStyle w:val="Fontepargpadro"/>
          <w:rFonts w:eastAsia="Arial" w:cs="Calibri" w:ascii="Calibri" w:hAnsi="Calibri"/>
          <w:i w:val="false"/>
          <w:iCs w:val="false"/>
          <w:color w:val="000000"/>
          <w:spacing w:val="-6"/>
          <w:sz w:val="24"/>
          <w:szCs w:val="24"/>
        </w:rPr>
        <w:t>SERVIÇO DE VETERANOS E PENSIONISTAS DA MARINHA (SVPM)</w:t>
      </w:r>
    </w:p>
    <w:p>
      <w:pPr>
        <w:pStyle w:val="Nvel2Red"/>
        <w:numPr>
          <w:ilvl w:val="1"/>
          <w:numId w:val="1"/>
        </w:numPr>
        <w:spacing w:lineRule="auto" w:line="240" w:before="0" w:after="0"/>
        <w:ind w:left="0" w:hanging="0"/>
        <w:contextualSpacing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Não há órgãos e entidades públicas participantes do registro de preços.</w:t>
      </w:r>
    </w:p>
    <w:p>
      <w:pPr>
        <w:pStyle w:val="Nvel2Red"/>
        <w:numPr>
          <w:ilvl w:val="0"/>
          <w:numId w:val="0"/>
        </w:numPr>
        <w:spacing w:lineRule="auto" w:line="240" w:before="0" w:after="0"/>
        <w:ind w:left="1283" w:hanging="0"/>
        <w:contextualSpacing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ivel01"/>
        <w:numPr>
          <w:ilvl w:val="0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 ADESÃO À ATA DE REGISTRO DE PREÇOS (item obrigatório)</w:t>
      </w:r>
    </w:p>
    <w:p>
      <w:pPr>
        <w:pStyle w:val="Nvel2Red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  <w:lang w:eastAsia="en-US"/>
        </w:rPr>
        <w:t xml:space="preserve"> </w:t>
      </w:r>
      <w:commentRangeStart w:id="5"/>
      <w:r>
        <w:rPr>
          <w:rFonts w:ascii="Calibri" w:hAnsi="Calibri"/>
          <w:i w:val="false"/>
          <w:iCs w:val="false"/>
          <w:color w:val="000000"/>
          <w:sz w:val="24"/>
          <w:szCs w:val="24"/>
          <w:lang w:eastAsia="en-US"/>
        </w:rPr>
        <w:t xml:space="preserve">Não será admitida a adesão à ata de registro de preços </w:t>
      </w:r>
      <w:r>
        <w:rPr>
          <w:rFonts w:ascii="Calibri" w:hAnsi="Calibri"/>
          <w:i w:val="false"/>
          <w:iCs w:val="false"/>
          <w:color w:val="000000"/>
          <w:sz w:val="24"/>
          <w:szCs w:val="24"/>
          <w:lang w:eastAsia="en-US"/>
        </w:rPr>
      </w:r>
      <w:commentRangeEnd w:id="5"/>
      <w:r>
        <w:commentReference w:id="5"/>
      </w:r>
      <w:r>
        <w:rPr>
          <w:rFonts w:ascii="Calibri" w:hAnsi="Calibri"/>
          <w:i w:val="false"/>
          <w:iCs w:val="false"/>
          <w:color w:val="000000"/>
          <w:sz w:val="24"/>
          <w:szCs w:val="24"/>
          <w:lang w:eastAsia="en-US"/>
        </w:rPr>
        <w:t>decorrente desta licitação ou desta contratação direta, conforme justificativa apresentada nos estudos técnicos preliminares.</w:t>
      </w:r>
    </w:p>
    <w:p>
      <w:pPr>
        <w:pStyle w:val="SubTitNN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A validade da Ata de Registro de Preços será de 1 (um) ano, contado a </w:t>
      </w:r>
      <w:commentRangeStart w:id="6"/>
      <w:r>
        <w:rPr>
          <w:rFonts w:ascii="Calibri" w:hAnsi="Calibri"/>
          <w:i w:val="false"/>
          <w:iCs w:val="false"/>
          <w:color w:val="000000"/>
          <w:sz w:val="24"/>
          <w:szCs w:val="24"/>
        </w:rPr>
        <w:t>partir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  <w:commentRangeEnd w:id="6"/>
      <w:r>
        <w:commentReference w:id="6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do primeiro dia útil subsequente à data de divulgação no PNCP, podendo ser prorrogada por igual período, mediante a anuência do fornecedor, desde que comprovado o preço vantajoso.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A contratação com os fornecedores registrados na ata será formalizada pelo órgão ou pela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Serão registrados na ata os preços e os quantita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vos do adjudicatário, devendo ser observada a possibilidade de o licitante oferecer ou não proposta em quantitativo inferior ao máximo previsto no edital e se obrigar nos limites dela;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Mantiverem sua proposta original. </w:t>
      </w:r>
      <w:bookmarkStart w:id="1" w:name="cadastro_reserva"/>
      <w:bookmarkEnd w:id="1"/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registro a que se refere o item 5.4.2</w:t>
      </w:r>
      <w:r>
        <w:rPr>
          <w:rFonts w:ascii="Calibri" w:hAnsi="Calibri"/>
          <w:b/>
          <w:bCs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tem por obje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A habilitação dos licitantes que comporão o cadastro de reserva a que se refere o item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fldChar w:fldCharType="begin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instrText xml:space="preserve"> REF cadastro_reserva \r \h </w:instrTex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separate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t>5.4.2.2.</w: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end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Quando o licitante vencedor não assinar a ata de registro de preços, no prazo e nas condições estabelecidos no edital; e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Quando houver o cancelamento do registro do licitante ou do registro de preços nas hipóteses previstas no item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fldChar w:fldCharType="begin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instrText xml:space="preserve"> REF cancelamento \r \h </w:instrTex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separate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t>9.</w: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end"/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Quando o convocado não assinar a ata de registro de preços no prazo e nas condições estabelecidos no edital,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Na hipótese de nenhum dos licitantes que trata o item 5.4.2.1, aceitar a contratação nos termos do item anterior, a Administração, observados o valor es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mado e sua eventual atualização nos termos do edital, poderá: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Os preços registrados poderão ser alterados ou atualizados em decorrência de eventual redução dos preços pra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E</w:t>
      </w:r>
      <w:commentRangeStart w:id="7"/>
      <w:r>
        <w:rPr>
          <w:rFonts w:ascii="Calibri" w:hAnsi="Calibri"/>
          <w:i w:val="false"/>
          <w:iCs w:val="false"/>
          <w:color w:val="000000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  <w:commentRangeEnd w:id="7"/>
      <w:r>
        <w:commentReference w:id="7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;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Em caso de criação, alteração ou ex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Na hipótese de previsão no edital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Na hipótese de o preço registrado tornar-se superior ao preço pra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cado no mercado por mo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vo superveniente, o órgão ou en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Caso não aceite reduzir seu preço aos valores pra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8"/>
      <w:r>
        <w:rPr>
          <w:rFonts w:ascii="Calibri" w:hAnsi="Calibri"/>
          <w:i w:val="false"/>
          <w:iCs w:val="false"/>
          <w:color w:val="000000"/>
          <w:sz w:val="24"/>
          <w:szCs w:val="24"/>
        </w:rPr>
        <w:t>s licitantes ou fornecedores que tiveram seu registro cancelado.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  <w:commentRangeEnd w:id="8"/>
      <w:r>
        <w:commentReference w:id="8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Se não obtiver êxito nas negociações, o órgão ou en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tid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ade gerenciadora procederá ao cancelamento da ata de registro de preços, adotando as medidas cabíveis para obtenção de contratação mais vantajosa.</w:t>
      </w:r>
      <w:bookmarkStart w:id="2" w:name="reducao_preco_mercado_negociacao_frustra"/>
      <w:bookmarkEnd w:id="2"/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Calibri" w:ascii="Calibri" w:hAnsi="Calibri"/>
          <w:i w:val="false"/>
          <w:iCs w:val="false"/>
          <w:color w:val="000000"/>
          <w:sz w:val="24"/>
          <w:szCs w:val="24"/>
        </w:rPr>
        <w:t>Na hipótese de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redução do preço registrado, o gerenciador comunicará aos órgãos e às en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dades que 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3" w:name="hipotese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4" w:name="prova_preco_mercado_maior"/>
      <w:bookmarkEnd w:id="4"/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Não hipótese de não comprovação da existência de fato superveniente que inviabilize o preço registrado, o pedido será indeferido pelo órgão ou en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dade gerenciadora e o fornecedor deverá cumprir as obrigações estabelecidas na ata, sob pena de cancelamento do seu registro, nos termos do item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fldChar w:fldCharType="begin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instrText xml:space="preserve"> REF cancelamento_do_fornecedor \r \h </w:instrTex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separate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t>9.1.</w: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end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fldChar w:fldCharType="begin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instrText xml:space="preserve"> REF cancelamento_da_ata \r \h </w:instrTex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separate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t>9.4.</w: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end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Na hipótese de comprovação da majoração do preço de mercado que inviabilize o preço registrado, conforme previsto no item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fldChar w:fldCharType="begin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instrText xml:space="preserve"> REF hipotese_preco_mercado_maior \r \h </w:instrTex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separate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t>7.2.</w: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end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e no item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fldChar w:fldCharType="begin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instrText xml:space="preserve"> REF prova_preco_mercado_maior \r \h </w:instrTex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separate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t>7.2.1.</w: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end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, o órgão ou en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órgão ou en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gerenciadora comunicará aos órgãos e às en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dades que 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verem firmado contratos decorrentes da ata de registro de preços sobre a efe</w:t>
      </w:r>
      <w:r>
        <w:rPr>
          <w:rFonts w:eastAsia="Calibri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commentRangeStart w:id="9"/>
      <w:r>
        <w:rPr>
          <w:rFonts w:ascii="Calibri" w:hAnsi="Calibri"/>
          <w:i w:val="false"/>
          <w:iCs w:val="false"/>
          <w:color w:val="000000"/>
          <w:sz w:val="24"/>
          <w:szCs w:val="24"/>
        </w:rPr>
        <w:t>REMANEJAMENTO DAS QUANTIDADES REGISTRADAS NA ATA DE REGISTRO DE PREÇOS</w:t>
      </w:r>
      <w:commentRangeEnd w:id="9"/>
      <w:r>
        <w:commentReference w:id="9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As quan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dades previstas para os itens com preços registrados nas atas de registro de preços poderão ser remanejadas pelo órgão ou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gerenciadora entre os órgãos ou as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dades par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cipantes e não par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De órgão ou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par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cipante para órgão ou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par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cipante;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De órgão ou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par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órgão ou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gerenciadora que tiver es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mado as quan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dades que pretende contratar será considerado participante para efeito do remanejamento.</w:t>
      </w:r>
      <w:bookmarkStart w:id="5" w:name="gerenciador_estimador_é_partic_em_remane"/>
      <w:bookmarkEnd w:id="5"/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Na hipótese de remanejamento de órgão ou entidade par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cipante para órgão ou entidade não participante, serão observados os limites previstos no </w:t>
      </w:r>
      <w:commentRangeStart w:id="10"/>
      <w:r>
        <w:rPr>
          <w:rFonts w:ascii="Calibri" w:hAnsi="Calibri"/>
          <w:i w:val="false"/>
          <w:iCs w:val="false"/>
          <w:color w:val="000000"/>
          <w:sz w:val="24"/>
          <w:szCs w:val="24"/>
        </w:rPr>
        <w:t>art. 32 do Decreto nº 11.462, de 2023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  <w:commentRangeEnd w:id="10"/>
      <w:r>
        <w:commentReference w:id="10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Competirá ao órgão ou à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gerenciadora autorizar o remanejamento solicitado, com a redução do quan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ta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vo inicialmente informado pelo órgão ou pela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par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cipante, desde que haja prévia anuência do órgão ou da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Caso o remanejamento seja feito entre órgãos ou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dades dos Estados, do Distrito Federal ou de Municípios dis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Na hipótese da compra centralizada, não havendo indicação pelo órgão ou pela en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dade gerenciadora, dos quan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ta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vos dos par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cipantes da compra centralizada, nos termos do item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fldChar w:fldCharType="begin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instrText xml:space="preserve"> REF gerenciador_estimador_é_partic_em_remane \r \h </w:instrTex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separate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t>8.3.</w: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end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CANCELAMENTO DO REGISTRO DO LICITANTE VENCEDOR E DOS PREÇOS REGISTRADOS</w:t>
      </w:r>
      <w:bookmarkStart w:id="6" w:name="cancelamento"/>
      <w:bookmarkEnd w:id="6"/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registro do fornecedor será cancelado pelo gerenciador, quando o fornecedor:</w:t>
      </w:r>
      <w:bookmarkStart w:id="7" w:name="cancelamento_do_fornecedor"/>
      <w:bookmarkEnd w:id="7"/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Não re</w:t>
      </w:r>
      <w:r>
        <w:rPr>
          <w:rFonts w:eastAsia="Arial" w:ascii="Calibri" w:hAnsi="Calibri"/>
          <w:i w:val="false"/>
          <w:iCs w:val="false"/>
          <w:color w:val="000000"/>
          <w:sz w:val="24"/>
          <w:szCs w:val="24"/>
        </w:rPr>
        <w:t>ti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O cancelamento de registros nas hipóteses previstas no item 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fldChar w:fldCharType="begin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instrText xml:space="preserve"> REF cancelamento_do_fornecedor \r \h </w:instrTex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separate"/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t>9.1.</w:t>
      </w:r>
      <w:r>
        <w:rPr>
          <w:sz w:val="24"/>
          <w:i w:val="false"/>
          <w:szCs w:val="24"/>
          <w:iCs w:val="false"/>
          <w:rFonts w:ascii="Calibri" w:hAnsi="Calibri"/>
          <w:color w:val="000000"/>
        </w:rPr>
        <w:fldChar w:fldCharType="end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8" w:name="cancelamento_da_ata"/>
      <w:bookmarkEnd w:id="8"/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DAS PENALIDADES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descumprimento da Ata de Registro de Preços ensejará aplicação das penalidades estabelecidas no edital.</w:t>
      </w:r>
    </w:p>
    <w:p>
      <w:pPr>
        <w:pStyle w:val="Nvel3"/>
        <w:numPr>
          <w:ilvl w:val="2"/>
          <w:numId w:val="1"/>
        </w:numPr>
        <w:ind w:left="284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As sanções também se aplicam aos integrantes do cadastro de reserva no registro de preços que, convocados, não honrarem o compromisso assumido </w:t>
      </w:r>
      <w:commentRangeStart w:id="11"/>
      <w:r>
        <w:rPr>
          <w:rFonts w:ascii="Calibri" w:hAnsi="Calibri"/>
          <w:i w:val="false"/>
          <w:iCs w:val="false"/>
          <w:color w:val="000000"/>
          <w:sz w:val="24"/>
          <w:szCs w:val="24"/>
        </w:rPr>
        <w:t>injustificadamente</w:t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  <w:commentRangeEnd w:id="11"/>
      <w:r>
        <w:commentReference w:id="11"/>
      </w:r>
      <w:r>
        <w:rPr>
          <w:rFonts w:ascii="Calibri" w:hAnsi="Calibri"/>
          <w:i w:val="false"/>
          <w:iCs w:val="false"/>
          <w:color w:val="000000"/>
          <w:sz w:val="24"/>
          <w:szCs w:val="24"/>
        </w:rPr>
        <w:t xml:space="preserve"> após terem assinado a ata. 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CONDIÇÕES GERAIS</w:t>
      </w:r>
    </w:p>
    <w:p>
      <w:pPr>
        <w:pStyle w:val="Nivel2"/>
        <w:numPr>
          <w:ilvl w:val="1"/>
          <w:numId w:val="1"/>
        </w:numPr>
        <w:ind w:left="0" w:hanging="0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  <w:t>As condições gerais de execução do objeto, tais como os prazos para entrega e recebimento, as obrigações da Administração e do fornecedor registrado, penalidades e demais condições do ajuste, encontram-se definidos no Termo de Referência, ANEXO I AO EDITAL.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 xml:space="preserve">Para firmeza e validade do pactuado, a presente Ata foi lavrada em </w:t>
      </w:r>
      <w:r>
        <w:rPr>
          <w:rFonts w:eastAsia="Times New Roman" w:cs="Arial" w:ascii="Calibri" w:hAnsi="Calibri"/>
          <w:i w:val="false"/>
          <w:iCs w:val="false"/>
          <w:color w:val="000000"/>
          <w:kern w:val="0"/>
          <w:sz w:val="24"/>
          <w:szCs w:val="24"/>
          <w:lang w:val="pt-BR" w:eastAsia="pt-BR" w:bidi="ar-SA"/>
        </w:rPr>
        <w:t>única via</w:t>
      </w: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 xml:space="preserve">, que, depois de lida e achada em ordem, vai assinada digitalmente pelas partes. 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Local e data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Assinaturas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Representante legal do órgão gerenciador e representante(s) legal(is) do(s) fornecedor(s) registrado(s)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commentRangeStart w:id="12"/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Anexo</w:t>
      </w:r>
      <w:commentRangeEnd w:id="12"/>
      <w:r>
        <w:commentReference w:id="12"/>
      </w: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Cadastro Reserva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94"/>
        <w:gridCol w:w="1336"/>
        <w:gridCol w:w="1253"/>
        <w:gridCol w:w="1541"/>
        <w:gridCol w:w="1122"/>
        <w:gridCol w:w="1120"/>
        <w:gridCol w:w="842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Fornecedor 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(se exigido no edital)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QuantidadeMáxima</w:t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695"/>
        <w:gridCol w:w="1135"/>
        <w:gridCol w:w="1253"/>
        <w:gridCol w:w="1541"/>
        <w:gridCol w:w="1122"/>
        <w:gridCol w:w="1120"/>
        <w:gridCol w:w="842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Fornecedor 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(se exigido no edital)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QuantidadeMáxima</w:t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Calibri" w:hAnsi="Calibri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Calibri" w:hAnsi="Calibri" w:cs="Arial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Calibri" w:hAnsi="Calibri"/>
          <w:i w:val="false"/>
          <w:i w:val="false"/>
          <w:iCs w:val="false"/>
          <w:color w:val="000000"/>
          <w:sz w:val="24"/>
          <w:szCs w:val="24"/>
        </w:rPr>
      </w:pPr>
      <w:r>
        <w:rPr/>
      </w:r>
    </w:p>
    <w:sectPr>
      <w:footerReference w:type="default" r:id="rId2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or" w:date="0-00-00T00:00:00Z" w:initials="A">
    <w:p>
      <w:r>
        <w:rPr>
          <w:rFonts w:ascii="Liberation Serif" w:hAnsi="Liberation Serif" w:eastAsia="DejaVu Sans" w:cs="Noto Sans Arabic UI"/>
          <w:b/>
          <w:color w:val="000000"/>
          <w:lang w:val="en-US" w:eastAsia="en-US" w:bidi="en-US"/>
        </w:rPr>
        <w:t>Nota Explicativa:</w:t>
      </w:r>
      <w:r>
        <w:rPr>
          <w:rFonts w:ascii="Liberation Serif" w:hAnsi="Liberation Serif" w:eastAsia="DejaVu Sans" w:cs="Noto Sans Arabic UI"/>
          <w:color w:val="000000"/>
          <w:lang w:val="en-US" w:eastAsia="en-US" w:bidi="en-US"/>
        </w:rPr>
        <w:t xml:space="preserve"> </w:t>
      </w:r>
      <w:r>
        <w:rPr>
          <w:rFonts w:ascii="Liberation Serif" w:hAnsi="Liberation Serif" w:eastAsia="DejaVu Sans" w:cs="Noto Sans Arabic UI"/>
          <w:i/>
          <w:iCs/>
          <w:color w:val="000000"/>
          <w:lang w:val="en-US" w:eastAsia="en-US" w:bidi="en-US"/>
        </w:rPr>
        <w:t>O preço registrado, com a indicação dos fornecedores, será divulgado no PNCP e disponibilizado durante a vigência da ata de registro de preços</w:t>
      </w:r>
      <w:r>
        <w:rPr>
          <w:rFonts w:ascii="Liberation Serif" w:hAnsi="Liberation Serif" w:eastAsia="DejaVu Sans" w:cs="Noto Sans Arabic UI"/>
          <w:color w:val="000000"/>
          <w:lang w:val="en-US" w:eastAsia="en-US" w:bidi="en-US"/>
        </w:rPr>
        <w:t>. (§ 4º, art. 18 do Decreto Nº11.462, de 2023.)</w:t>
      </w:r>
    </w:p>
  </w:comment>
  <w:comment w:id="1" w:author="Autor" w:date="0-00-00T00:00:00Z" w:initials="A">
    <w:p>
      <w:r>
        <w:rPr>
          <w:rFonts w:ascii="Liberation Serif" w:hAnsi="Liberation Serif" w:eastAsia="DejaVu Sans" w:cs="Noto Sans Arabic UI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Noto Sans Arabic UI"/>
          <w:lang w:val="en-US" w:eastAsia="en-US" w:bidi="en-US"/>
        </w:rPr>
        <w:t>. No artigo 82, § 3º, da Lei 14.133, permite-se o registro de preços com indicação limitada a unidades de contratação,</w:t>
      </w:r>
      <w:r>
        <w:rPr>
          <w:rFonts w:ascii="Liberation Serif" w:hAnsi="Liberation Serif" w:eastAsia="DejaVu Sans" w:cs="Noto Sans Arabic UI"/>
          <w:b/>
          <w:bCs/>
          <w:lang w:val="en-US" w:eastAsia="en-US" w:bidi="en-US"/>
        </w:rPr>
        <w:t xml:space="preserve"> sem indicação do total a ser adquirido</w:t>
      </w:r>
      <w:r>
        <w:rPr>
          <w:rFonts w:ascii="Liberation Serif" w:hAnsi="Liberation Serif" w:eastAsia="DejaVu Sans" w:cs="Noto Sans Arabic UI"/>
          <w:lang w:val="en-US" w:eastAsia="en-US" w:bidi="en-US"/>
        </w:rPr>
        <w:t>, apenas nas seguintes situações: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I - quando for a primeira licitação para o objeto e o órgão ou entidade não tiver registro de demandas anteriores;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II - no caso de alimento perecível;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III - no caso em que o serviço estiver integrado ao fornecimento de bens.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Nessas situações, é obrigatória a indicação do valor máximo da despesa e é vedada a participação de outro órgão ou entidade na ata.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O artigo 4º do Decreto 11.462, de 31/3/2023, possui a mesma redação da lei.</w:t>
      </w:r>
    </w:p>
  </w:comment>
  <w:comment w:id="2" w:author="Autor" w:date="0-00-00T00:00:00Z" w:initials="A">
    <w:p>
      <w:r>
        <w:rPr>
          <w:rFonts w:ascii="Liberation Serif" w:hAnsi="Liberation Serif" w:eastAsia="DejaVu Sans" w:cs="Noto Sans Arabic UI"/>
          <w:b/>
          <w:color w:val="000000"/>
          <w:lang w:val="en-US" w:eastAsia="en-US" w:bidi="en-US"/>
        </w:rPr>
        <w:t>Nota Explicativa</w:t>
      </w:r>
      <w:r>
        <w:rPr>
          <w:rFonts w:ascii="Liberation Serif" w:hAnsi="Liberation Serif" w:eastAsia="DejaVu Sans" w:cs="Noto Sans Arabic UI"/>
          <w:color w:val="000000"/>
          <w:lang w:val="en-US" w:eastAsia="en-US" w:bidi="en-US"/>
        </w:rPr>
        <w:t>: A listagem deve obedecer a ordem prevista no inciso II e § 2º do art. 18 do Decreto nº 11.462, de 2023.</w:t>
      </w:r>
    </w:p>
  </w:comment>
  <w:comment w:id="4" w:author="Autor" w:date="0-00-00T00:00:00Z" w:initials="A">
    <w:p>
      <w:r>
        <w:rPr>
          <w:rFonts w:ascii="Liberation Serif" w:hAnsi="Liberation Serif" w:eastAsia="DejaVu Sans" w:cs="Noto Sans Arabic UI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Noto Sans Arabic UI"/>
          <w:lang w:val="en-US" w:eastAsia="en-US" w:bidi="en-US"/>
        </w:rPr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3" w:author="Autor" w:date="0-00-00T00:00:00Z" w:initials="A">
    <w:p>
      <w:r>
        <w:rPr>
          <w:rFonts w:ascii="Liberation Serif" w:hAnsi="Liberation Serif" w:eastAsia="DejaVu Sans" w:cs="Noto Sans Arabic UI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Noto Sans Arabic UI"/>
          <w:lang w:val="en-US" w:eastAsia="en-US" w:bidi="en-US"/>
        </w:rPr>
        <w:t xml:space="preserve"> Não será permitida participação de outro órgão ou entidade quando não houver indicação dos quantitativos totais a ser contratados, na forma do art. 4º e parágrafo único do Decreto nº 11.462/2023.</w:t>
      </w:r>
    </w:p>
  </w:comment>
  <w:comment w:id="5" w:author="Autor" w:date="0-00-00T00:00:00Z" w:initials="A">
    <w:p>
      <w:r>
        <w:rPr>
          <w:rFonts w:ascii="Liberation Serif" w:hAnsi="Liberation Serif" w:eastAsia="DejaVu Sans" w:cs="Noto Sans Arabic UI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Noto Sans Arabic UI"/>
          <w:lang w:val="en-US" w:eastAsia="en-US" w:bidi="en-US"/>
        </w:rPr>
        <w:t xml:space="preserve">: A possibilidade de vedação de adesão existe, por exemplo, na hipótese do parágrafo único do art. 4º do Decreto: 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"Art. 4º  É permitido o registro de preços com indicação limitada a unidades de contratação, sem indicação do total a ser adquirido, apenas nas seguintes situações: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I - quando for a primeira licitação ou contratação direta para o objeto e o órgão ou a entidade não tiver registro de demandas anteriores;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II - no caso de alimento perecível; ou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III - no caso em que o serviço estiver integrado ao fornecimento de bens.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Parágrafo único.  Nas situações referidas no caput, é obrigatória a indicação do valor máximo da despesa e é vedada a participação de outro órgão ou entidade na ata."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I - realizar procedimento público de intenção de registro de preços - IRP e, quando for o caso, estabelecer o número máximo de participantes, em conformidade com sua capacidade de gerenciamento;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[...]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XI - deliberar quanto à adesão posterior de órgãos e entidades que não tenham manifestado interesse durante o período de divulgação da IRP;"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Assim, desde que devidamente justificado nos Estudos Técnicos Preliminares, poderá ser vedada a adesão, de forma prévia, a órgãos não-participantes.</w:t>
      </w:r>
    </w:p>
  </w:comment>
  <w:comment w:id="6" w:author="Autor" w:date="0-00-00T00:00:00Z" w:initials="A">
    <w:p>
      <w:r>
        <w:rPr>
          <w:rFonts w:ascii="Liberation Serif" w:hAnsi="Liberation Serif" w:eastAsia="DejaVu Sans" w:cs="Noto Sans Arabic UI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Noto Sans Arabic UI"/>
          <w:lang w:val="en-US" w:eastAsia="en-US" w:bidi="en-US"/>
        </w:rPr>
        <w:t>: O artigo 84 da Lei 14.133 fixa o prazo de 1 (um) ano para a ata de registro de preços, admitindo a prorrogação por igual período.</w:t>
      </w:r>
    </w:p>
  </w:comment>
  <w:comment w:id="7" w:author="Autor" w:date="0-00-00T00:00:00Z" w:initials="A">
    <w:p>
      <w:r>
        <w:rPr>
          <w:rFonts w:ascii="Liberation Serif" w:hAnsi="Liberation Serif" w:eastAsia="DejaVu Sans" w:cs="Noto Sans Arabic UI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Noto Sans Arabic UI"/>
          <w:lang w:val="en-US" w:eastAsia="en-US" w:bidi="en-US"/>
        </w:rPr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8" w:author="Autor" w:date="0-00-00T00:00:00Z" w:initials="A">
    <w:p>
      <w:r>
        <w:rPr>
          <w:rFonts w:ascii="Liberation Serif" w:hAnsi="Liberation Serif" w:eastAsia="DejaVu Sans" w:cs="Noto Sans Arabic UI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Noto Sans Arabic UI"/>
          <w:lang w:val="en-US" w:eastAsia="en-US" w:bidi="en-US"/>
        </w:rPr>
        <w:t xml:space="preserve"> O §3º do art. 28 do Decreto nº 11.462/2023,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9" w:author="Autor" w:date="0-00-00T00:00:00Z" w:initials="A">
    <w:p>
      <w:r>
        <w:rPr>
          <w:rFonts w:ascii="Liberation Serif" w:hAnsi="Liberation Serif" w:eastAsia="DejaVu Sans" w:cs="Noto Sans Arabic UI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Noto Sans Arabic UI"/>
          <w:lang w:val="en-US" w:eastAsia="en-US" w:bidi="en-US"/>
        </w:rPr>
        <w:t xml:space="preserve"> A possibilidade de remanejamento está prevista no art. 30 do Decreto nº 11.462/2023</w:t>
      </w:r>
    </w:p>
  </w:comment>
  <w:comment w:id="10" w:author="Autor" w:date="0-00-00T00:00:00Z" w:initials="A">
    <w:p>
      <w:r>
        <w:rPr>
          <w:rFonts w:ascii="Liberation Serif" w:hAnsi="Liberation Serif" w:eastAsia="DejaVu Sans" w:cs="Noto Sans Arabic UI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Noto Sans Arabic UI"/>
          <w:lang w:val="en-US" w:eastAsia="en-US" w:bidi="en-US"/>
        </w:rPr>
        <w:t xml:space="preserve"> Art. 32. </w:t>
      </w:r>
      <w:r>
        <w:rPr>
          <w:rFonts w:ascii="Liberation Serif" w:hAnsi="Liberation Serif" w:eastAsia="DejaVu Sans" w:cs="Noto Sans Arabic UI"/>
          <w:color w:val="000000"/>
          <w:lang w:val="en-US" w:eastAsia="en-US" w:bidi="en-US"/>
        </w:rPr>
        <w:t> Serão observadas as seguintes regras de controle para a adesão à ata de registro de preços de que trata o art. 31:</w:t>
      </w:r>
    </w:p>
    <w:p>
      <w:r>
        <w:rPr>
          <w:rFonts w:ascii="Liberation Serif" w:hAnsi="Liberation Serif" w:eastAsia="DejaVu Sans" w:cs="Noto Sans Arabic UI"/>
          <w:color w:val="000000"/>
          <w:lang w:val="en-US" w:eastAsia="en-US" w:bidi="en-US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>
      <w:r>
        <w:rPr>
          <w:rFonts w:ascii="Liberation Serif" w:hAnsi="Liberation Serif" w:eastAsia="DejaVu Sans" w:cs="Noto Sans Arabic UI"/>
          <w:color w:val="000000"/>
          <w:lang w:val="en-US" w:eastAsia="en-US" w:bidi="en-US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11" w:author="Autor" w:date="0-00-00T00:00:00Z" w:initials="A">
    <w:p>
      <w:r>
        <w:rPr>
          <w:rFonts w:ascii="Liberation Serif" w:hAnsi="Liberation Serif" w:eastAsia="DejaVu Sans" w:cs="Noto Sans Arabic UI"/>
          <w:b/>
          <w:lang w:val="en-US" w:eastAsia="en-US" w:bidi="en-US"/>
        </w:rPr>
        <w:t xml:space="preserve">Nota Explicativa: </w:t>
      </w:r>
      <w:r>
        <w:rPr>
          <w:rFonts w:ascii="Liberation Serif" w:hAnsi="Liberation Serif" w:eastAsia="DejaVu Sans" w:cs="Noto Sans Arabic UI"/>
          <w:lang w:val="en-US" w:eastAsia="en-US" w:bidi="en-US"/>
        </w:rP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>§ 5º A regra do § 4º não se aplicará aos licitantes remanescentes convocados na forma do inciso I do § 3º."</w:t>
      </w:r>
    </w:p>
  </w:comment>
  <w:comment w:id="12" w:author="Autor" w:date="0-00-00T00:00:00Z" w:initials="A">
    <w:p>
      <w:r>
        <w:rPr>
          <w:rFonts w:ascii="Liberation Serif" w:hAnsi="Liberation Serif" w:eastAsia="DejaVu Sans" w:cs="Noto Sans Arabic UI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Noto Sans Arabic UI"/>
          <w:lang w:val="en-US" w:eastAsia="en-US" w:bidi="en-US"/>
        </w:rP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>
      <w:r>
        <w:rPr>
          <w:rFonts w:ascii="Liberation Serif" w:hAnsi="Liberation Serif" w:eastAsia="DejaVu Sans" w:cs="Noto Sans Arabic UI"/>
          <w:lang w:val="en-US" w:eastAsia="en-US" w:bidi="en-US"/>
        </w:rP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Carlito">
    <w:altName w:val="Calibri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character" w:styleId="Fontepargpadro">
    <w:name w:val="Fonte parág. padrão"/>
    <w:qFormat/>
    <w:rPr/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GradeColoridanfase11" w:customStyle="1">
    <w:name w:val="Grade Colorida - Ênfase 11"/>
    <w:basedOn w:val="Normal"/>
    <w:next w:val="Normal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qFormat/>
    <w:rsid w:val="009d6ccc"/>
    <w:pPr>
      <w:spacing w:lineRule="auto" w:line="259" w:before="60" w:after="60"/>
      <w:ind w:left="0" w:hanging="0"/>
      <w:contextualSpacing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qFormat/>
    <w:rsid w:val="00b73e47"/>
    <w:p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comments" Target="comment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Application>LibreOffice/7.3.7.2$Linux_X86_64 LibreOffice_project/30$Build-2</Application>
  <AppVersion>15.0000</AppVersion>
  <DocSecurity>0</DocSecurity>
  <Pages>10</Pages>
  <Words>2876</Words>
  <Characters>16065</Characters>
  <CharactersWithSpaces>18737</CharactersWithSpaces>
  <Paragraphs>146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2024-10-11T14:23:32Z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